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13F67F4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F46F9" w:rsidRPr="007C7099">
        <w:rPr>
          <w:rFonts w:cs="Arial"/>
          <w:color w:val="365F91" w:themeColor="accent1" w:themeShade="BF"/>
          <w:sz w:val="22"/>
          <w:szCs w:val="22"/>
        </w:rPr>
        <w:t>4 do SIWZ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15750B79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0B43F623" w:rsidR="000F2AFB" w:rsidRPr="00AB3D3F" w:rsidRDefault="009A6D23" w:rsidP="00AB3D3F">
      <w:pPr>
        <w:pStyle w:val="Standard"/>
        <w:spacing w:line="276" w:lineRule="auto"/>
        <w:ind w:left="36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AB3D3F" w:rsidRPr="001D7A73">
        <w:rPr>
          <w:rFonts w:ascii="Arial" w:hAnsi="Arial" w:cs="Arial"/>
          <w:b/>
          <w:bCs/>
          <w:color w:val="0070C0"/>
        </w:rPr>
        <w:t>Wykonanie zabiegów ochrony czynnej w obszarze Natura 2000 Piaśnickie Łąki PLH220021 oraz w rezerwacie przyrody Piaśnickie Łąki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, </w:t>
      </w:r>
      <w:r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AB3D3F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AB3D3F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AB3D3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AB3D3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: 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2A598E4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5ABF55C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AB3D3F" w:rsidRPr="001D7A73">
        <w:rPr>
          <w:rFonts w:cs="Arial"/>
          <w:b/>
          <w:bCs/>
          <w:color w:val="0070C0"/>
        </w:rPr>
        <w:t>Wykonanie zabiegów ochrony czynnej w obszarze Natura 2000 Piaśnickie Łąki PLH220021 oraz w rezerwacie przyrody Piaśnickie Łąki</w:t>
      </w:r>
      <w:r w:rsidR="00AB3D3F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, </w:t>
      </w:r>
      <w:r w:rsidR="00AB3D3F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bookmarkStart w:id="1" w:name="_GoBack"/>
      <w:bookmarkEnd w:id="1"/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ED283-271C-43A3-BABB-45942676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8</cp:revision>
  <cp:lastPrinted>2020-02-07T10:24:00Z</cp:lastPrinted>
  <dcterms:created xsi:type="dcterms:W3CDTF">2020-11-27T08:04:00Z</dcterms:created>
  <dcterms:modified xsi:type="dcterms:W3CDTF">2021-07-02T08:49:00Z</dcterms:modified>
</cp:coreProperties>
</file>